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67E8E" w14:textId="2377B571" w:rsidR="00595601" w:rsidRPr="00925DE9" w:rsidRDefault="0026198E" w:rsidP="009453AD">
      <w:pPr>
        <w:pStyle w:val="Heading1"/>
      </w:pPr>
      <w:r w:rsidRPr="00925DE9">
        <w:t xml:space="preserve">ESSAY </w:t>
      </w:r>
      <w:r w:rsidR="00722AEA" w:rsidRPr="00925DE9">
        <w:t>2</w:t>
      </w:r>
      <w:r w:rsidRPr="00925DE9">
        <w:t xml:space="preserve">: CRIMINOLOGY AND PUBLIC </w:t>
      </w:r>
      <w:r w:rsidR="003A3D7B" w:rsidRPr="00925DE9">
        <w:t xml:space="preserve">POLICY </w:t>
      </w:r>
      <w:r w:rsidR="00737927" w:rsidRPr="00925DE9">
        <w:br/>
        <w:t>[</w:t>
      </w:r>
      <w:r w:rsidR="009453AD">
        <w:t>Domestic/Family Violence (DFV)</w:t>
      </w:r>
      <w:r w:rsidR="00737927" w:rsidRPr="00925DE9">
        <w:t>]</w:t>
      </w:r>
    </w:p>
    <w:p w14:paraId="7361B046" w14:textId="77777777" w:rsidR="0026198E" w:rsidRPr="00925DE9" w:rsidRDefault="0026198E" w:rsidP="0026198E">
      <w:pPr>
        <w:jc w:val="center"/>
        <w:rPr>
          <w:rFonts w:ascii="Arial" w:hAnsi="Arial" w:cs="Arial"/>
          <w:smallCaps/>
        </w:rPr>
      </w:pPr>
      <w:r w:rsidRPr="00925DE9">
        <w:rPr>
          <w:rFonts w:ascii="Arial" w:hAnsi="Arial" w:cs="Arial"/>
          <w:smallCaps/>
        </w:rPr>
        <w:t>Author’s Name</w:t>
      </w:r>
    </w:p>
    <w:p w14:paraId="05B47175" w14:textId="77777777" w:rsidR="0026198E" w:rsidRPr="00925DE9" w:rsidRDefault="0026198E" w:rsidP="0026198E">
      <w:pPr>
        <w:pStyle w:val="ListParagraph"/>
        <w:numPr>
          <w:ilvl w:val="0"/>
          <w:numId w:val="1"/>
        </w:numPr>
        <w:jc w:val="center"/>
        <w:rPr>
          <w:rFonts w:ascii="Arial" w:hAnsi="Arial" w:cs="Arial"/>
          <w:smallCaps/>
        </w:rPr>
      </w:pPr>
      <w:r w:rsidRPr="00925DE9">
        <w:rPr>
          <w:rFonts w:ascii="Arial" w:hAnsi="Arial" w:cs="Arial"/>
          <w:smallCaps/>
        </w:rPr>
        <w:t>Introduction</w:t>
      </w:r>
      <w:r w:rsidR="00450F2B" w:rsidRPr="00925DE9">
        <w:rPr>
          <w:rFonts w:ascii="Arial" w:hAnsi="Arial" w:cs="Arial"/>
          <w:smallCaps/>
        </w:rPr>
        <w:t xml:space="preserve"> (e.g. </w:t>
      </w:r>
      <w:r w:rsidR="00722AEA" w:rsidRPr="00925DE9">
        <w:rPr>
          <w:rFonts w:ascii="Arial" w:hAnsi="Arial" w:cs="Arial"/>
          <w:smallCaps/>
        </w:rPr>
        <w:t>3</w:t>
      </w:r>
      <w:r w:rsidR="00450F2B" w:rsidRPr="00925DE9">
        <w:rPr>
          <w:rFonts w:ascii="Arial" w:hAnsi="Arial" w:cs="Arial"/>
          <w:smallCaps/>
        </w:rPr>
        <w:t>00 words)</w:t>
      </w:r>
    </w:p>
    <w:p w14:paraId="1B7855EF" w14:textId="5B567249" w:rsidR="000A41DE" w:rsidRPr="000A41DE" w:rsidRDefault="000A41DE" w:rsidP="000A41DE">
      <w:pPr>
        <w:rPr>
          <w:rFonts w:ascii="Arial" w:hAnsi="Arial" w:cs="Arial"/>
        </w:rPr>
      </w:pPr>
      <w:r w:rsidRPr="000A41DE">
        <w:rPr>
          <w:rFonts w:ascii="Arial" w:hAnsi="Arial" w:cs="Arial"/>
        </w:rPr>
        <w:t xml:space="preserve">Domestic/ family violence (DFV) is a challenging criminal and social topic that needs to be given greater attention if the Australian government wants to achieve optimal public policy outcomes. In this regard, the Australian government needs to take amicable measures to ensure that the wellbeing of family members is upheld with regards to the protection of their rights. FDV occurs as a result of familial or parental relationships. Legal and family frameworks dictate how justice is administered based on how various familial structures in a bid to promote the safety and the wellbeing of children as well as the affected parents. There is a need for a change in the justice policy systems to strengthen the guidelines that will ensure maximum outcomes for the victims. </w:t>
      </w:r>
      <w:r w:rsidRPr="00065A0F">
        <w:rPr>
          <w:rFonts w:ascii="Arial" w:hAnsi="Arial" w:cs="Arial"/>
          <w:vertAlign w:val="superscript"/>
        </w:rPr>
        <w:t>1</w:t>
      </w:r>
      <w:r w:rsidRPr="000A41DE">
        <w:rPr>
          <w:rFonts w:ascii="Arial" w:hAnsi="Arial" w:cs="Arial"/>
        </w:rPr>
        <w:t>New provisions need to be implemented based on the renewed concerns of the failure of the previous justice systems. Escaping the cycle of failure needs a holistic legal and justice change with regards to conformity to international research and best practices.</w:t>
      </w:r>
    </w:p>
    <w:p w14:paraId="00C90147" w14:textId="72857A47" w:rsidR="000A41DE" w:rsidRDefault="000A41DE" w:rsidP="000A41DE">
      <w:pPr>
        <w:rPr>
          <w:rFonts w:ascii="Arial" w:hAnsi="Arial" w:cs="Arial"/>
        </w:rPr>
      </w:pPr>
      <w:r w:rsidRPr="000A41DE">
        <w:rPr>
          <w:rFonts w:ascii="Arial" w:hAnsi="Arial" w:cs="Arial"/>
        </w:rPr>
        <w:t>Moreover, amicable reforms should be able to take into account the similar issues in other jurisdictions when addressing family law. In this regard, the focus should not be on the failings of domestic structures, but the knowledge gained from legal systems that have managed issues related to FDV. The successes of various approaches that have been used in the past will form the basis of making suppositions on the need for child safety, the correlation of FDV as gender-based violence, and how children are always the direct victims of familial based chaos.</w:t>
      </w:r>
      <w:r w:rsidRPr="00065A0F">
        <w:rPr>
          <w:rFonts w:ascii="Arial" w:hAnsi="Arial" w:cs="Arial"/>
          <w:vertAlign w:val="superscript"/>
        </w:rPr>
        <w:t>1</w:t>
      </w:r>
      <w:r w:rsidRPr="000A41DE">
        <w:rPr>
          <w:rFonts w:ascii="Arial" w:hAnsi="Arial" w:cs="Arial"/>
        </w:rPr>
        <w:t xml:space="preserve"> In the end, justice and law enforcement agencies will be able to examine the importance of the establishment of specialist DFV courts as well as offer judicial education to mitigate the prevalence of the same. The paper aims to determine the underlying factors that limit the administration of effective justice policies with regards to FDV.</w:t>
      </w:r>
    </w:p>
    <w:p w14:paraId="735A133B" w14:textId="3A42BB76" w:rsidR="0026198E" w:rsidRPr="00925DE9" w:rsidRDefault="00722AEA" w:rsidP="000A41DE">
      <w:pPr>
        <w:jc w:val="center"/>
        <w:rPr>
          <w:rFonts w:ascii="Arial" w:hAnsi="Arial" w:cs="Arial"/>
          <w:smallCaps/>
        </w:rPr>
      </w:pPr>
      <w:r w:rsidRPr="00925DE9">
        <w:rPr>
          <w:rFonts w:ascii="Arial" w:hAnsi="Arial" w:cs="Arial"/>
          <w:smallCaps/>
        </w:rPr>
        <w:t xml:space="preserve">An Effective CJS Response </w:t>
      </w:r>
      <w:r w:rsidR="006848B5" w:rsidRPr="00925DE9">
        <w:rPr>
          <w:rFonts w:ascii="Arial" w:hAnsi="Arial" w:cs="Arial"/>
          <w:smallCaps/>
        </w:rPr>
        <w:t xml:space="preserve">(E.g. </w:t>
      </w:r>
      <w:r w:rsidRPr="00925DE9">
        <w:rPr>
          <w:rFonts w:ascii="Arial" w:hAnsi="Arial" w:cs="Arial"/>
          <w:smallCaps/>
        </w:rPr>
        <w:t>5</w:t>
      </w:r>
      <w:r w:rsidR="006848B5" w:rsidRPr="00925DE9">
        <w:rPr>
          <w:rFonts w:ascii="Arial" w:hAnsi="Arial" w:cs="Arial"/>
          <w:smallCaps/>
        </w:rPr>
        <w:t>00 Words)</w:t>
      </w:r>
    </w:p>
    <w:p w14:paraId="16D68B1B" w14:textId="77777777" w:rsidR="000A41DE" w:rsidRDefault="00E04C43" w:rsidP="000A41DE">
      <w:pPr>
        <w:rPr>
          <w:rFonts w:ascii="Arial" w:hAnsi="Arial" w:cs="Arial"/>
        </w:rPr>
      </w:pPr>
      <w:r>
        <w:rPr>
          <w:rFonts w:ascii="Arial" w:hAnsi="Arial" w:cs="Arial"/>
        </w:rPr>
        <w:t>I</w:t>
      </w:r>
      <w:r w:rsidR="00E242F7">
        <w:rPr>
          <w:rFonts w:ascii="Arial" w:hAnsi="Arial" w:cs="Arial"/>
        </w:rPr>
        <w:t xml:space="preserve"> am </w:t>
      </w:r>
      <w:r w:rsidR="000A41DE" w:rsidRPr="000A41DE">
        <w:rPr>
          <w:rFonts w:ascii="Arial" w:hAnsi="Arial" w:cs="Arial"/>
        </w:rPr>
        <w:t xml:space="preserve">I am opined that the Criminal Justice System (CJS) should not focus only on protecting the rights and wellbeing of women and children but also those of men. Men are always the main offenders when it comes to FDV, but this does not mean that women should be considered angelic. The traditional family law tends to swing the balance of justice towards women and their children. In this regard, men tend to use coercive methodologies that entail taking advantage of their contacts with their children to control their partner. In this regard, contact should be supervised to avoid any manipulative strategies that are likely to be used by the partners. Amicable justice policies on FDV require all stakeholders, including police, prosecutions, courts, and corrections, to used better-researched information to make sounder decisions. In this regard, the CJS should ensure the delivery of justice to the victims by carrying out investigations to determine disparities that can lead to a breach in certain family laws. </w:t>
      </w:r>
    </w:p>
    <w:p w14:paraId="24A13E43" w14:textId="77777777" w:rsidR="00065A0F" w:rsidRPr="000A41DE" w:rsidRDefault="00065A0F" w:rsidP="000A41DE">
      <w:pPr>
        <w:rPr>
          <w:rFonts w:ascii="Arial" w:hAnsi="Arial" w:cs="Arial"/>
        </w:rPr>
      </w:pPr>
    </w:p>
    <w:p w14:paraId="3FA3494D" w14:textId="77777777" w:rsidR="000A41DE" w:rsidRPr="000A41DE" w:rsidRDefault="000A41DE" w:rsidP="000A41DE">
      <w:pPr>
        <w:rPr>
          <w:rFonts w:ascii="Arial" w:hAnsi="Arial" w:cs="Arial"/>
        </w:rPr>
      </w:pPr>
      <w:r w:rsidRPr="000A41DE">
        <w:rPr>
          <w:rFonts w:ascii="Arial" w:hAnsi="Arial" w:cs="Arial"/>
        </w:rPr>
        <w:lastRenderedPageBreak/>
        <w:t xml:space="preserve">The norm of an abusive husband or wife continuing with their controlling behaviours based on court-ordered permission to contact their children will ensure that the rights of both parties are upheld proportionately. Father’s rights should also be taken into account rather than putting all the emphasis on providing mothers custody based on primary presumptions. The opinion emanates from the fact that most solicitors of justice in abusive family relationships do not always have enough evidence to prosecute the perpetrators. Therefore, the police, courts, corrections, and prosecutions should be more conversant with the tactics used in FDV cases to intimidate or coerce family members against other family members. Thus, there should be critical approaches that aim at determining inequalities that cause the interests of certain victims to be overlooked. Courts should not penalize victims based on ill-informed research to ensure that the latter is taken to correction facilities unjustly. The penalties should be based on concrete evidence based on comprehensive investigations by the police. </w:t>
      </w:r>
    </w:p>
    <w:p w14:paraId="763FD52D" w14:textId="77777777" w:rsidR="000A41DE" w:rsidRPr="000A41DE" w:rsidRDefault="000A41DE" w:rsidP="000A41DE">
      <w:pPr>
        <w:rPr>
          <w:rFonts w:ascii="Arial" w:hAnsi="Arial" w:cs="Arial"/>
        </w:rPr>
      </w:pPr>
      <w:r w:rsidRPr="000A41DE">
        <w:rPr>
          <w:rFonts w:ascii="Arial" w:hAnsi="Arial" w:cs="Arial"/>
        </w:rPr>
        <w:t xml:space="preserve">Besides, I am opined that arrests and investigations should be made in such ways that they do not have problematic consequences in either the perpetrator or victim. For instance, prosecutors are less likely to prosecute perpetrators in case of dual arrests (arrest of both the perpetrator and the victim). </w:t>
      </w:r>
      <w:r w:rsidRPr="00065A0F">
        <w:rPr>
          <w:rFonts w:ascii="Arial" w:hAnsi="Arial" w:cs="Arial"/>
          <w:vertAlign w:val="superscript"/>
        </w:rPr>
        <w:t xml:space="preserve">2 </w:t>
      </w:r>
      <w:r w:rsidRPr="000A41DE">
        <w:rPr>
          <w:rFonts w:ascii="Arial" w:hAnsi="Arial" w:cs="Arial"/>
        </w:rPr>
        <w:t xml:space="preserve">Arresting women who are intimate relationships has significant impacts on their decisions. Thus, women are likely to plead guilty in a bid to solve matters quickly out of fear of being incarcerated. </w:t>
      </w:r>
    </w:p>
    <w:p w14:paraId="03AE5F55" w14:textId="09E2271F" w:rsidR="000A41DE" w:rsidRDefault="000A41DE" w:rsidP="000A41DE">
      <w:pPr>
        <w:rPr>
          <w:rFonts w:ascii="Arial" w:hAnsi="Arial" w:cs="Arial"/>
        </w:rPr>
      </w:pPr>
      <w:r w:rsidRPr="000A41DE">
        <w:rPr>
          <w:rFonts w:ascii="Arial" w:hAnsi="Arial" w:cs="Arial"/>
        </w:rPr>
        <w:t>Disregarding the negative consequences of a conviction can lead to a breach of justice based on the knowledge that pleading guilty was an uninformed decision. As a result, these women are likely to lose the custody of their children, losing public welfare or housing, being prevented from employment opportunities, and putting their immigration status in jeopardy. The CJS should take into account the potential effects of exposure to ramifications with regards to dual or mandatory arrests. Primarily, there should be interventions that provide law enforcement officers and even prosecutors the aggressor and the victim in FDV based on pre-defined guidelines.</w:t>
      </w:r>
    </w:p>
    <w:p w14:paraId="6ED7B75B" w14:textId="77777777" w:rsidR="00065A0F" w:rsidRDefault="00065A0F" w:rsidP="000A41DE">
      <w:pPr>
        <w:rPr>
          <w:rFonts w:ascii="Arial" w:hAnsi="Arial" w:cs="Arial"/>
        </w:rPr>
      </w:pPr>
    </w:p>
    <w:p w14:paraId="64A20BF0" w14:textId="77777777" w:rsidR="00065A0F" w:rsidRDefault="00065A0F" w:rsidP="000A41DE">
      <w:pPr>
        <w:rPr>
          <w:rFonts w:ascii="Arial" w:hAnsi="Arial" w:cs="Arial"/>
        </w:rPr>
      </w:pPr>
    </w:p>
    <w:p w14:paraId="37B0F1BF" w14:textId="77777777" w:rsidR="00065A0F" w:rsidRDefault="00065A0F" w:rsidP="000A41DE">
      <w:pPr>
        <w:rPr>
          <w:rFonts w:ascii="Arial" w:hAnsi="Arial" w:cs="Arial"/>
        </w:rPr>
      </w:pPr>
    </w:p>
    <w:p w14:paraId="1A36F405" w14:textId="77777777" w:rsidR="00065A0F" w:rsidRDefault="00065A0F" w:rsidP="000A41DE">
      <w:pPr>
        <w:rPr>
          <w:rFonts w:ascii="Arial" w:hAnsi="Arial" w:cs="Arial"/>
        </w:rPr>
      </w:pPr>
    </w:p>
    <w:p w14:paraId="493C302B" w14:textId="7709B778" w:rsidR="00065A0F" w:rsidRDefault="00065A0F" w:rsidP="000A41DE">
      <w:pPr>
        <w:rPr>
          <w:rFonts w:ascii="Arial" w:hAnsi="Arial" w:cs="Arial"/>
        </w:rPr>
      </w:pPr>
      <w:r>
        <w:rPr>
          <w:rStyle w:val="FootnoteReference"/>
          <w:rFonts w:ascii="Arial" w:hAnsi="Arial" w:cs="Arial"/>
        </w:rPr>
        <w:footnoteReference w:id="1"/>
      </w:r>
    </w:p>
    <w:p w14:paraId="2510BEFC" w14:textId="77777777" w:rsidR="00065A0F" w:rsidRDefault="00065A0F" w:rsidP="000A41DE">
      <w:pPr>
        <w:rPr>
          <w:rFonts w:ascii="Arial" w:hAnsi="Arial" w:cs="Arial"/>
        </w:rPr>
      </w:pPr>
    </w:p>
    <w:p w14:paraId="0E7B8977" w14:textId="77777777" w:rsidR="00065A0F" w:rsidRDefault="00065A0F" w:rsidP="000A41DE">
      <w:pPr>
        <w:rPr>
          <w:rFonts w:ascii="Arial" w:hAnsi="Arial" w:cs="Arial"/>
        </w:rPr>
      </w:pPr>
    </w:p>
    <w:p w14:paraId="34554B62" w14:textId="77777777" w:rsidR="00065A0F" w:rsidRDefault="00065A0F" w:rsidP="000A41DE">
      <w:pPr>
        <w:rPr>
          <w:rFonts w:ascii="Arial" w:hAnsi="Arial" w:cs="Arial"/>
        </w:rPr>
      </w:pPr>
    </w:p>
    <w:p w14:paraId="67E27E07" w14:textId="77777777" w:rsidR="00065A0F" w:rsidRDefault="00065A0F" w:rsidP="000A41DE">
      <w:pPr>
        <w:rPr>
          <w:rFonts w:ascii="Arial" w:hAnsi="Arial" w:cs="Arial"/>
        </w:rPr>
      </w:pPr>
    </w:p>
    <w:p w14:paraId="6EA745FE" w14:textId="538BE6B1" w:rsidR="0026198E" w:rsidRDefault="00722AEA" w:rsidP="00065A0F">
      <w:pPr>
        <w:jc w:val="center"/>
        <w:rPr>
          <w:rFonts w:ascii="Arial" w:hAnsi="Arial" w:cs="Arial"/>
          <w:smallCaps/>
        </w:rPr>
      </w:pPr>
      <w:r w:rsidRPr="00925DE9">
        <w:rPr>
          <w:rFonts w:ascii="Arial" w:hAnsi="Arial" w:cs="Arial"/>
          <w:smallCaps/>
        </w:rPr>
        <w:t xml:space="preserve">The Limits of the Current CJS Response </w:t>
      </w:r>
      <w:r w:rsidR="006848B5" w:rsidRPr="00925DE9">
        <w:rPr>
          <w:rFonts w:ascii="Arial" w:hAnsi="Arial" w:cs="Arial"/>
          <w:smallCaps/>
        </w:rPr>
        <w:t>(E.g. 300 Words)</w:t>
      </w:r>
    </w:p>
    <w:p w14:paraId="015D80A5" w14:textId="1E48E501" w:rsidR="000A41DE" w:rsidRPr="000A41DE" w:rsidRDefault="000A41DE" w:rsidP="000A41DE">
      <w:pPr>
        <w:rPr>
          <w:rFonts w:ascii="Arial" w:hAnsi="Arial" w:cs="Arial"/>
        </w:rPr>
      </w:pPr>
      <w:r w:rsidRPr="000A41DE">
        <w:rPr>
          <w:rFonts w:ascii="Arial" w:hAnsi="Arial" w:cs="Arial"/>
        </w:rPr>
        <w:t>The police are required to arrest the perpetrators of FDV instead of treating the issue as a private matter. Police have been not permitted to make warrantless arrests in the case FDV lest they witnessed first-hand the violence. Arrests are effective since they prevent continued abuse on the partner. Dual-arrests can also be made by taking into account by examining how they impact on a victim or a perpetrator. In this regard, the arrest should not impact disproportionately on women. In this regard, police officers should assess the situation at the scene to determine the aggressor to avoid arresting the wrong persons. Prosecutors are required to file cases even if they make dual arrests to ensure that the perpetrators of FDV do not get away with their crimes. Besides, the court should not be leaned towards the protection of only the rights of women and children since men are sometimes the victims. Also, courts should have mechanisms that deter offenders from making unsupervised contacts with their children. The measure will ensure that the perpetrators do not influence the decisions of the children. Lastly, correction should be rehabilitation-oriented rather than jail-term penalties.</w:t>
      </w:r>
    </w:p>
    <w:p w14:paraId="3A36C415" w14:textId="7B1CE34C" w:rsidR="000A41DE" w:rsidRDefault="000A41DE" w:rsidP="000A41DE">
      <w:pPr>
        <w:rPr>
          <w:rFonts w:ascii="Arial" w:hAnsi="Arial" w:cs="Arial"/>
        </w:rPr>
      </w:pPr>
      <w:r w:rsidRPr="000A41DE">
        <w:rPr>
          <w:rFonts w:ascii="Arial" w:hAnsi="Arial" w:cs="Arial"/>
        </w:rPr>
        <w:t xml:space="preserve">Currently, CJS of Australia encourages the report of any form of FDV to the police based on the kind of relationship. The measure is to avoid the reporting of strangers who are not partners. There is better cooperation between law enforcement officers and other stakeholders to ensure an effective response to FDV issues. Also, the Australian Policing Strategy for Preventing and Reducing Family Violence was formed in 2008 to ensure consistency in practices and practices that aimed at enhancing intelligence sharing. </w:t>
      </w:r>
      <w:r w:rsidRPr="00065A0F">
        <w:rPr>
          <w:rFonts w:ascii="Arial" w:hAnsi="Arial" w:cs="Arial"/>
          <w:vertAlign w:val="superscript"/>
        </w:rPr>
        <w:t>3</w:t>
      </w:r>
      <w:r w:rsidRPr="000A41DE">
        <w:rPr>
          <w:rFonts w:ascii="Arial" w:hAnsi="Arial" w:cs="Arial"/>
        </w:rPr>
        <w:t xml:space="preserve"> Courts also apply a variety of laws and policies in determining FDV cases. Besides, most laws aimed at protecting women and children from violence. The emphasis on protecting only women and children should also extend to men to promote non-violent relationships.</w:t>
      </w:r>
    </w:p>
    <w:p w14:paraId="6B7D3533" w14:textId="746772DF" w:rsidR="0026198E" w:rsidRPr="00925DE9" w:rsidRDefault="00722AEA" w:rsidP="003D7035">
      <w:pPr>
        <w:jc w:val="center"/>
        <w:rPr>
          <w:rFonts w:ascii="Arial" w:hAnsi="Arial" w:cs="Arial"/>
          <w:smallCaps/>
        </w:rPr>
      </w:pPr>
      <w:r w:rsidRPr="00925DE9">
        <w:rPr>
          <w:rFonts w:ascii="Arial" w:hAnsi="Arial" w:cs="Arial"/>
          <w:smallCaps/>
        </w:rPr>
        <w:t xml:space="preserve">From Current Policy to Good Practice </w:t>
      </w:r>
      <w:r w:rsidR="006848B5" w:rsidRPr="00925DE9">
        <w:rPr>
          <w:rFonts w:ascii="Arial" w:hAnsi="Arial" w:cs="Arial"/>
          <w:smallCaps/>
        </w:rPr>
        <w:t xml:space="preserve">(E.g. </w:t>
      </w:r>
      <w:r w:rsidRPr="00925DE9">
        <w:rPr>
          <w:rFonts w:ascii="Arial" w:hAnsi="Arial" w:cs="Arial"/>
          <w:smallCaps/>
        </w:rPr>
        <w:t>1,0</w:t>
      </w:r>
      <w:r w:rsidR="006848B5" w:rsidRPr="00925DE9">
        <w:rPr>
          <w:rFonts w:ascii="Arial" w:hAnsi="Arial" w:cs="Arial"/>
          <w:smallCaps/>
        </w:rPr>
        <w:t>00 Words)</w:t>
      </w:r>
    </w:p>
    <w:p w14:paraId="1B39DF1C" w14:textId="3FAED1EB" w:rsidR="00065A0F" w:rsidRPr="00065A0F" w:rsidRDefault="00065A0F" w:rsidP="00065A0F">
      <w:pPr>
        <w:spacing w:before="100"/>
        <w:rPr>
          <w:rFonts w:ascii="Arial" w:hAnsi="Arial" w:cs="Arial"/>
        </w:rPr>
      </w:pPr>
      <w:r w:rsidRPr="00065A0F">
        <w:rPr>
          <w:rFonts w:ascii="Arial" w:hAnsi="Arial" w:cs="Arial"/>
        </w:rPr>
        <w:t xml:space="preserve">Taking a stand is effective in ensuring positive outcomes for the victims since the perpetrators will be dealt with according to holistic law frameworks. In this regard, the victims will be free from repeated abuse; therefore, restoring their trust in others. Taking a stand will ensure that the victims’ views and opinions are taken into account during prosecution. Thus, prosecutors will not be using assumptions to present their case to courts of law. As a result, the prosecution will take a victim-centred approach that aims at protecting, understanding, and supporting the victims. The justice system will be able to analyse the victim’s behaviour in a bid to determine the obstacles that they are dealing with in a bid to attain justice. Therefore, the prosecutors will be able to cooperate with the victims in an attempt to promote their participation in the justice prosecutors. The establishment of collaborative efforts will also ensure that the prosecutors do not misunderstand the victims due to inconsistent statements. In such cases, a victim is likely to become unreliable, and there are high chances that the prosecution will see them as liars.  The phenomenon mentioned above inhibits the court from getting the truth. Taking a stand will show the victims that the court is willing to help them get justice for the violent actions of their partners. The victims would be less reluctant to conceal information based on their feelings for the offender. The eagerness of the victims to pursue the case further will be unquestioned, and the court would less likely </w:t>
      </w:r>
      <w:r w:rsidRPr="00065A0F">
        <w:rPr>
          <w:rFonts w:ascii="Arial" w:hAnsi="Arial" w:cs="Arial"/>
        </w:rPr>
        <w:lastRenderedPageBreak/>
        <w:t>see them as trying to take advantage of the proceedings to gain custody of their children or get a divorce.</w:t>
      </w:r>
    </w:p>
    <w:p w14:paraId="1630FBD5" w14:textId="77777777" w:rsidR="00065A0F" w:rsidRPr="00065A0F" w:rsidRDefault="00065A0F" w:rsidP="00065A0F">
      <w:pPr>
        <w:spacing w:before="100"/>
        <w:rPr>
          <w:rFonts w:ascii="Arial" w:hAnsi="Arial" w:cs="Arial"/>
        </w:rPr>
      </w:pPr>
      <w:r w:rsidRPr="00065A0F">
        <w:rPr>
          <w:rFonts w:ascii="Arial" w:hAnsi="Arial" w:cs="Arial"/>
        </w:rPr>
        <w:t xml:space="preserve">Moreover, taking a stand will improve the psychological wellbeing of the victims since they will be less likely to be depressed or traumatized. Empirical evidence shows that victims of violence are always vulnerable to depression, post-traumatic disorders, and anxiety. </w:t>
      </w:r>
      <w:r w:rsidRPr="00065A0F">
        <w:rPr>
          <w:rFonts w:ascii="Arial" w:hAnsi="Arial" w:cs="Arial"/>
          <w:vertAlign w:val="superscript"/>
        </w:rPr>
        <w:t xml:space="preserve">4 </w:t>
      </w:r>
      <w:r w:rsidRPr="00065A0F">
        <w:rPr>
          <w:rFonts w:ascii="Arial" w:hAnsi="Arial" w:cs="Arial"/>
        </w:rPr>
        <w:t>The health situations mentioned above ate likely to affect the victims’ abilities to recount the experiences of the violence effectively. In this regard, taking a stand will enable prosecutors and lawyers to help the victims remember precise details that can change the course of the case significantly. Cases will be determined devoid of emotional numbness; therefore, mitigating complications in the responses. For instance, in most situations, cross-examinations and interviews are done by male prosecutors and police officers. If the victim is a woman, they are likely to be uncomfortable due to gender dynamics. The victims should feel safe, and supporting them will help relieve them from trauma. Taking a stand will help prosecutors, lawyers, judges, and the jury takes into account the possibilities of delayed reporting with regards to traumatized victims. Also, they will be able to determine the evidence that has been lost during the delay. Besides, prosecutors will be able to determine credible witness accounts since they have detailed information that devoid of distortions. Lastly, the prosecutors will also be able to educate judges on how trauma can be problematic to the proceedings of the court.</w:t>
      </w:r>
    </w:p>
    <w:p w14:paraId="7039D8DE" w14:textId="77777777" w:rsidR="00065A0F" w:rsidRPr="00065A0F" w:rsidRDefault="00065A0F" w:rsidP="00065A0F">
      <w:pPr>
        <w:spacing w:before="100"/>
        <w:rPr>
          <w:rFonts w:ascii="Arial" w:hAnsi="Arial" w:cs="Arial"/>
        </w:rPr>
      </w:pPr>
      <w:r w:rsidRPr="00065A0F">
        <w:rPr>
          <w:rFonts w:ascii="Arial" w:hAnsi="Arial" w:cs="Arial"/>
        </w:rPr>
        <w:t>Also, taking a stand will enable the justice system to recognize situations where the perpetrators are trying to take advantage of the victims. For instance, women always fear that the partners are likely to become more violent in case they decide to go against their wishes. Therefore, the victims will be reluctant to participate in the justice process if they fear the perpetrators. Taking a stand on the issue will enable the justice system to use strategies that prevent the perpetrators from contacting the victims during the court proceedings. For instance, court orders can be issued restraining the abusers from contacting their partners in a bid to reduce the chances of potential violence. The prosecutors will take amicable measures to address the victims’ fear of retaliation with regard to the anticipation of further violence. Pre-trial detention can be administered to the abusers to prevent them from threatening their victims. Also, other special courtroom measures should be adopted to make the victim feel safe during the proceedings. Prosecutors will also be able to inquire about unreported violence cases that had occurred previously to provide evidence for offenses that can be charged based on statutes and other limitations. The court will be able to develop an accurate account of the offender’s domestic violence history in a bid to determine the most appropriate sentencing and prosecution recommendations.</w:t>
      </w:r>
    </w:p>
    <w:p w14:paraId="3DF6E34F" w14:textId="047746A2" w:rsidR="00722AEA" w:rsidRDefault="00065A0F" w:rsidP="00065A0F">
      <w:pPr>
        <w:spacing w:before="100"/>
        <w:rPr>
          <w:rFonts w:ascii="Arial" w:hAnsi="Arial" w:cs="Arial"/>
          <w:vertAlign w:val="superscript"/>
        </w:rPr>
      </w:pPr>
      <w:r w:rsidRPr="00065A0F">
        <w:rPr>
          <w:rFonts w:ascii="Arial" w:hAnsi="Arial" w:cs="Arial"/>
        </w:rPr>
        <w:t xml:space="preserve">Besides, the justice system should comprehend the grooming techniques that the offenders have used to instil the trust of their victims in them. The notions that the perpetrator is dangerous should be dissolved, and this can be achieved by establishing robust family support. </w:t>
      </w:r>
      <w:r w:rsidRPr="00065A0F">
        <w:rPr>
          <w:rFonts w:ascii="Arial" w:hAnsi="Arial" w:cs="Arial"/>
          <w:vertAlign w:val="superscript"/>
        </w:rPr>
        <w:t>4</w:t>
      </w:r>
      <w:r w:rsidRPr="00065A0F">
        <w:rPr>
          <w:rFonts w:ascii="Arial" w:hAnsi="Arial" w:cs="Arial"/>
        </w:rPr>
        <w:t xml:space="preserve"> The family will play an integral part in ensuring that the victim opens up to aid in the justice process. Therefore, taking a stand will enable the prosecutors as well as lawyers to identify potential legal risks that can cause a breach of justice. In this regard, the justice system will be aware of the potential vulnerabilities of abused persons. In doing so, lawyers, prosecutors, and judges will be able to assess the credibility of the allegations to determine their weaknesses and strengths in a bid to promote accurate delivery of justice. The police, on the other hand, will be able to take measures during the court proceedings to support the victim. In the end, the victim’s safety and quality of life will be improved considerably during </w:t>
      </w:r>
      <w:r w:rsidRPr="00065A0F">
        <w:rPr>
          <w:rFonts w:ascii="Arial" w:hAnsi="Arial" w:cs="Arial"/>
        </w:rPr>
        <w:lastRenderedPageBreak/>
        <w:t xml:space="preserve">the administration of justice. From the victim’s standpoint, taking a stand will ensure that they receive the necessary support from law enforcement and justice agencies to ensure that they recover from the detrimental effects. </w:t>
      </w:r>
      <w:r w:rsidRPr="00065A0F">
        <w:rPr>
          <w:rFonts w:ascii="Arial" w:hAnsi="Arial" w:cs="Arial"/>
          <w:vertAlign w:val="superscript"/>
        </w:rPr>
        <w:t xml:space="preserve">5 </w:t>
      </w:r>
      <w:r w:rsidRPr="00065A0F">
        <w:rPr>
          <w:rFonts w:ascii="Arial" w:hAnsi="Arial" w:cs="Arial"/>
        </w:rPr>
        <w:t xml:space="preserve">The case of Hughes v the Queen, where the offender was charged with eleven sexual offenses was based on reputation, conduct, and the character of the offender. The court took into account the tendency of the offender to act in a particular way. Therefore, the tendency evidence was used to provide probative value that proved that the offender displayed similar features with the facts being explored. </w:t>
      </w:r>
      <w:r w:rsidRPr="00065A0F">
        <w:rPr>
          <w:rFonts w:ascii="Arial" w:hAnsi="Arial" w:cs="Arial"/>
          <w:vertAlign w:val="superscript"/>
        </w:rPr>
        <w:t>6</w:t>
      </w:r>
    </w:p>
    <w:p w14:paraId="30B7F66B" w14:textId="77777777" w:rsidR="003D7035" w:rsidRDefault="003D7035" w:rsidP="00065A0F">
      <w:pPr>
        <w:spacing w:before="100"/>
        <w:rPr>
          <w:rFonts w:ascii="Arial" w:hAnsi="Arial" w:cs="Arial"/>
          <w:vertAlign w:val="superscript"/>
        </w:rPr>
      </w:pPr>
    </w:p>
    <w:p w14:paraId="1C753CBE" w14:textId="77777777" w:rsidR="003D7035" w:rsidRDefault="003D7035" w:rsidP="00065A0F">
      <w:pPr>
        <w:spacing w:before="100"/>
        <w:rPr>
          <w:rFonts w:ascii="Arial" w:hAnsi="Arial" w:cs="Arial"/>
          <w:vertAlign w:val="superscript"/>
        </w:rPr>
      </w:pPr>
    </w:p>
    <w:p w14:paraId="58A7FEA4" w14:textId="77777777" w:rsidR="003D7035" w:rsidRDefault="003D7035" w:rsidP="00065A0F">
      <w:pPr>
        <w:spacing w:before="100"/>
        <w:rPr>
          <w:rFonts w:ascii="Arial" w:hAnsi="Arial" w:cs="Arial"/>
          <w:vertAlign w:val="superscript"/>
        </w:rPr>
      </w:pPr>
    </w:p>
    <w:p w14:paraId="3FE0CD91" w14:textId="77777777" w:rsidR="003D7035" w:rsidRDefault="003D7035" w:rsidP="00065A0F">
      <w:pPr>
        <w:spacing w:before="100"/>
        <w:rPr>
          <w:rFonts w:ascii="Arial" w:hAnsi="Arial" w:cs="Arial"/>
          <w:vertAlign w:val="superscript"/>
        </w:rPr>
      </w:pPr>
    </w:p>
    <w:p w14:paraId="2E3B1469" w14:textId="77777777" w:rsidR="003D7035" w:rsidRDefault="003D7035" w:rsidP="00065A0F">
      <w:pPr>
        <w:spacing w:before="100"/>
        <w:rPr>
          <w:rFonts w:ascii="Arial" w:hAnsi="Arial" w:cs="Arial"/>
          <w:vertAlign w:val="superscript"/>
        </w:rPr>
      </w:pPr>
    </w:p>
    <w:p w14:paraId="2B8AC6BB" w14:textId="77777777" w:rsidR="003D7035" w:rsidRDefault="003D7035" w:rsidP="00065A0F">
      <w:pPr>
        <w:spacing w:before="100"/>
        <w:rPr>
          <w:rFonts w:ascii="Arial" w:hAnsi="Arial" w:cs="Arial"/>
          <w:vertAlign w:val="superscript"/>
        </w:rPr>
      </w:pPr>
    </w:p>
    <w:p w14:paraId="05F6AB76" w14:textId="77777777" w:rsidR="003D7035" w:rsidRDefault="003D7035" w:rsidP="00065A0F">
      <w:pPr>
        <w:spacing w:before="100"/>
        <w:rPr>
          <w:rFonts w:ascii="Arial" w:hAnsi="Arial" w:cs="Arial"/>
          <w:vertAlign w:val="superscript"/>
        </w:rPr>
      </w:pPr>
    </w:p>
    <w:p w14:paraId="631C71D5" w14:textId="77777777" w:rsidR="003D7035" w:rsidRDefault="003D7035" w:rsidP="00065A0F">
      <w:pPr>
        <w:spacing w:before="100"/>
        <w:rPr>
          <w:rFonts w:ascii="Arial" w:hAnsi="Arial" w:cs="Arial"/>
          <w:vertAlign w:val="superscript"/>
        </w:rPr>
      </w:pPr>
    </w:p>
    <w:p w14:paraId="5547D969" w14:textId="77777777" w:rsidR="003D7035" w:rsidRDefault="003D7035" w:rsidP="00065A0F">
      <w:pPr>
        <w:spacing w:before="100"/>
        <w:rPr>
          <w:rFonts w:ascii="Arial" w:hAnsi="Arial" w:cs="Arial"/>
          <w:vertAlign w:val="superscript"/>
        </w:rPr>
      </w:pPr>
    </w:p>
    <w:p w14:paraId="406C739A" w14:textId="77777777" w:rsidR="003D7035" w:rsidRDefault="003D7035" w:rsidP="00065A0F">
      <w:pPr>
        <w:spacing w:before="100"/>
        <w:rPr>
          <w:rFonts w:ascii="Arial" w:hAnsi="Arial" w:cs="Arial"/>
          <w:vertAlign w:val="superscript"/>
        </w:rPr>
      </w:pPr>
    </w:p>
    <w:p w14:paraId="1B9BA859" w14:textId="77777777" w:rsidR="003D7035" w:rsidRDefault="003D7035" w:rsidP="00065A0F">
      <w:pPr>
        <w:spacing w:before="100"/>
        <w:rPr>
          <w:rFonts w:ascii="Arial" w:hAnsi="Arial" w:cs="Arial"/>
          <w:vertAlign w:val="superscript"/>
        </w:rPr>
      </w:pPr>
    </w:p>
    <w:p w14:paraId="3D962A29" w14:textId="77777777" w:rsidR="003D7035" w:rsidRDefault="003D7035" w:rsidP="00065A0F">
      <w:pPr>
        <w:spacing w:before="100"/>
        <w:rPr>
          <w:rFonts w:ascii="Arial" w:hAnsi="Arial" w:cs="Arial"/>
          <w:vertAlign w:val="superscript"/>
        </w:rPr>
      </w:pPr>
    </w:p>
    <w:p w14:paraId="44DC39D7" w14:textId="77777777" w:rsidR="003D7035" w:rsidRDefault="003D7035" w:rsidP="00065A0F">
      <w:pPr>
        <w:spacing w:before="100"/>
        <w:rPr>
          <w:rFonts w:ascii="Arial" w:hAnsi="Arial" w:cs="Arial"/>
          <w:vertAlign w:val="superscript"/>
        </w:rPr>
      </w:pPr>
    </w:p>
    <w:p w14:paraId="4FA3C9DE" w14:textId="77777777" w:rsidR="003D7035" w:rsidRDefault="003D7035" w:rsidP="00065A0F">
      <w:pPr>
        <w:spacing w:before="100"/>
        <w:rPr>
          <w:rFonts w:ascii="Arial" w:hAnsi="Arial" w:cs="Arial"/>
          <w:vertAlign w:val="superscript"/>
        </w:rPr>
      </w:pPr>
    </w:p>
    <w:p w14:paraId="59841E8A" w14:textId="77777777" w:rsidR="003D7035" w:rsidRDefault="003D7035" w:rsidP="00065A0F">
      <w:pPr>
        <w:spacing w:before="100"/>
        <w:rPr>
          <w:rFonts w:ascii="Arial" w:hAnsi="Arial" w:cs="Arial"/>
          <w:vertAlign w:val="superscript"/>
        </w:rPr>
      </w:pPr>
    </w:p>
    <w:p w14:paraId="3C948C9E" w14:textId="77777777" w:rsidR="003D7035" w:rsidRDefault="003D7035" w:rsidP="00065A0F">
      <w:pPr>
        <w:spacing w:before="100"/>
        <w:rPr>
          <w:rFonts w:ascii="Arial" w:hAnsi="Arial" w:cs="Arial"/>
          <w:vertAlign w:val="superscript"/>
        </w:rPr>
      </w:pPr>
    </w:p>
    <w:p w14:paraId="29E3663C" w14:textId="77777777" w:rsidR="003D7035" w:rsidRDefault="003D7035" w:rsidP="00065A0F">
      <w:pPr>
        <w:spacing w:before="100"/>
        <w:rPr>
          <w:rFonts w:ascii="Arial" w:hAnsi="Arial" w:cs="Arial"/>
          <w:vertAlign w:val="superscript"/>
        </w:rPr>
      </w:pPr>
    </w:p>
    <w:p w14:paraId="13D5E7A9" w14:textId="77777777" w:rsidR="003D7035" w:rsidRDefault="003D7035" w:rsidP="00065A0F">
      <w:pPr>
        <w:spacing w:before="100"/>
        <w:rPr>
          <w:rFonts w:ascii="Arial" w:hAnsi="Arial" w:cs="Arial"/>
          <w:vertAlign w:val="superscript"/>
        </w:rPr>
      </w:pPr>
    </w:p>
    <w:p w14:paraId="10250C66" w14:textId="0557233B" w:rsidR="003D7035" w:rsidRDefault="003D7035" w:rsidP="00065A0F">
      <w:pPr>
        <w:spacing w:before="100"/>
        <w:rPr>
          <w:rFonts w:ascii="Arial" w:hAnsi="Arial" w:cs="Arial"/>
          <w:vertAlign w:val="superscript"/>
        </w:rPr>
      </w:pPr>
      <w:r>
        <w:rPr>
          <w:rStyle w:val="FootnoteReference"/>
          <w:rFonts w:ascii="Arial" w:hAnsi="Arial" w:cs="Arial"/>
        </w:rPr>
        <w:footnoteReference w:id="2"/>
      </w:r>
    </w:p>
    <w:p w14:paraId="78595BE6" w14:textId="77777777" w:rsidR="003D7035" w:rsidRDefault="003D7035" w:rsidP="00065A0F">
      <w:pPr>
        <w:spacing w:before="100"/>
        <w:rPr>
          <w:rFonts w:ascii="Arial" w:hAnsi="Arial" w:cs="Arial"/>
          <w:vertAlign w:val="superscript"/>
        </w:rPr>
      </w:pPr>
    </w:p>
    <w:p w14:paraId="0C69CBDA" w14:textId="77777777" w:rsidR="003D7035" w:rsidRDefault="003D7035" w:rsidP="00065A0F">
      <w:pPr>
        <w:spacing w:before="100"/>
        <w:rPr>
          <w:rFonts w:ascii="Arial" w:hAnsi="Arial" w:cs="Arial"/>
          <w:vertAlign w:val="superscript"/>
        </w:rPr>
      </w:pPr>
    </w:p>
    <w:p w14:paraId="51BE1C79" w14:textId="77777777" w:rsidR="003D7035" w:rsidRPr="00925DE9" w:rsidRDefault="003D7035" w:rsidP="00065A0F">
      <w:pPr>
        <w:spacing w:before="100"/>
        <w:rPr>
          <w:rFonts w:ascii="Arial" w:hAnsi="Arial" w:cs="Arial"/>
          <w:smallCaps/>
        </w:rPr>
      </w:pPr>
    </w:p>
    <w:p w14:paraId="06EF4B5B" w14:textId="77777777" w:rsidR="00E167D3" w:rsidRPr="00925DE9" w:rsidRDefault="00E167D3" w:rsidP="005B281A">
      <w:pPr>
        <w:spacing w:before="100"/>
        <w:jc w:val="center"/>
        <w:rPr>
          <w:rFonts w:ascii="Arial" w:hAnsi="Arial" w:cs="Arial"/>
          <w:smallCaps/>
        </w:rPr>
      </w:pPr>
      <w:r w:rsidRPr="00925DE9">
        <w:rPr>
          <w:rFonts w:ascii="Arial" w:hAnsi="Arial" w:cs="Arial"/>
          <w:smallCaps/>
        </w:rPr>
        <w:t>From Good Practice to Good Policy (E.G. 600 Words)</w:t>
      </w:r>
    </w:p>
    <w:p w14:paraId="28E86D12" w14:textId="4CD1E52B" w:rsidR="00065A0F" w:rsidRPr="00065A0F" w:rsidRDefault="00065A0F" w:rsidP="00065A0F">
      <w:pPr>
        <w:rPr>
          <w:rFonts w:ascii="Arial" w:hAnsi="Arial" w:cs="Arial"/>
        </w:rPr>
      </w:pPr>
      <w:r w:rsidRPr="00065A0F">
        <w:rPr>
          <w:rFonts w:ascii="Arial" w:hAnsi="Arial" w:cs="Arial"/>
        </w:rPr>
        <w:t>My policy with regards to taking a stand on FDV will be entail law, justice, and correction frameworks that aim at ensuring maximum justice to the victims. In this regard, law enforcement officers should access the scene of the crime to determine the perpetrator and the victim. In this regard, the law enforcement officers will not arrest the wrong offenders, a situation that is likely to affect the cause of the administration of justice. Thus, I propose mandatory arrest as opposed to dual arrest to avoid the consequences that can lead to the concealment of information or reluctance to participate in court proceedings. The policy will also ensure that the rights of all persons are taken into account, not only the ones of women and children. Therefore, sentencing and penalties should be made based on the credibility of the allegations. The allegations should be assessed to determine whether the victim or the perpetrator is not taking advantage of court proceedings to gain custody of the child or seeking a divorce. Thus, the policy will ensure that the victims can only carry out supervised contact with the children and their partners. As a result, they will not be able to cause more trauma to the victims in such a way that they limit what they share with the prosecutor. Besides, the policy will ensure that pre-trial orders are administered to prevent the perpetrators from instilling further harm on the victims during court proceedings.</w:t>
      </w:r>
    </w:p>
    <w:p w14:paraId="77AD024F" w14:textId="77777777" w:rsidR="00065A0F" w:rsidRPr="00065A0F" w:rsidRDefault="00065A0F" w:rsidP="00065A0F">
      <w:pPr>
        <w:rPr>
          <w:rFonts w:ascii="Arial" w:hAnsi="Arial" w:cs="Arial"/>
        </w:rPr>
      </w:pPr>
      <w:r w:rsidRPr="00065A0F">
        <w:rPr>
          <w:rFonts w:ascii="Arial" w:hAnsi="Arial" w:cs="Arial"/>
        </w:rPr>
        <w:t>Moreover, judgments, prosecution, and sentencing will only be made after obtaining detailed information that is not distorted backed up with credible witness accounts. The justice system should try and bridge gaps in the information by examining past unreported FDV experiences. The prosecutors should also determine the emotional state of the victim to inform the court on how it might affect the delivery of effective judgement. For instance, the court should determine if the victim is depressed or traumatized. In such circumstances, the court should have measures to support the victim to overcome their fears of the victim towards the perpetrator. In this regard, the court should be aware that the offender is likely to use grooming techniques that aim at exerting control over their partners based on their intimacy. For example, a victim can be hiding certain information due to their love for the perpetrator.</w:t>
      </w:r>
    </w:p>
    <w:p w14:paraId="181D11FB" w14:textId="433E886F" w:rsidR="00466D42" w:rsidRDefault="00065A0F" w:rsidP="00065A0F">
      <w:pPr>
        <w:rPr>
          <w:rFonts w:ascii="Arial" w:hAnsi="Arial" w:cs="Arial"/>
        </w:rPr>
      </w:pPr>
      <w:r w:rsidRPr="00065A0F">
        <w:rPr>
          <w:rFonts w:ascii="Arial" w:hAnsi="Arial" w:cs="Arial"/>
        </w:rPr>
        <w:t xml:space="preserve">Furthermore, the Queen V </w:t>
      </w:r>
      <w:proofErr w:type="spellStart"/>
      <w:r w:rsidRPr="00065A0F">
        <w:rPr>
          <w:rFonts w:ascii="Arial" w:hAnsi="Arial" w:cs="Arial"/>
        </w:rPr>
        <w:t>Kilic</w:t>
      </w:r>
      <w:proofErr w:type="spellEnd"/>
      <w:r w:rsidRPr="00065A0F">
        <w:rPr>
          <w:rFonts w:ascii="Arial" w:hAnsi="Arial" w:cs="Arial"/>
        </w:rPr>
        <w:t xml:space="preserve"> case of 2016, where the offender had doused the perpetrator with petrol and set her on fire, showed the disparities in the Australian justice system with regards to FDV. </w:t>
      </w:r>
      <w:r w:rsidRPr="00065A0F">
        <w:rPr>
          <w:rFonts w:ascii="Arial" w:hAnsi="Arial" w:cs="Arial"/>
          <w:vertAlign w:val="superscript"/>
        </w:rPr>
        <w:t>7</w:t>
      </w:r>
      <w:r w:rsidRPr="00065A0F">
        <w:rPr>
          <w:rFonts w:ascii="Arial" w:hAnsi="Arial" w:cs="Arial"/>
        </w:rPr>
        <w:t xml:space="preserve"> The judge found it difficult to recall a more concrete account where the offender had caused injury to the victim. However, he reiterated that the sentence would only be given with regard to the need to send a message to the community that violence against is prohibited. The account mentioned above shows justice disparities.  My policy will ensure that that the judges are provided with a psychiatric assessment of the respondents to aid in the explanation of the issue. Also, the policy would have ensured specific deterrence of the offender to ensure that he does not contact the victim in a bid to inflict further harm. Besides, the policy would have ensured that the offender is assessed to determine the prospects of whether he could be rehabilitated. On the contrary, he was sentenced for 18 years, and there are no guarantees he would come out correction a changed person. Also, the court did not assess the potential threat that the offender would pose to the victim after coming out of prison. Notably, the decision made was based on other cases from the Crown. My policy will </w:t>
      </w:r>
      <w:r w:rsidRPr="00065A0F">
        <w:rPr>
          <w:rFonts w:ascii="Arial" w:hAnsi="Arial" w:cs="Arial"/>
        </w:rPr>
        <w:lastRenderedPageBreak/>
        <w:t>ensure that decisions are made based on well-informed information from the victims and witnesses.</w:t>
      </w:r>
    </w:p>
    <w:p w14:paraId="1A78921C" w14:textId="77777777" w:rsidR="005B281A" w:rsidRDefault="005B281A" w:rsidP="00E167D3">
      <w:pPr>
        <w:rPr>
          <w:rFonts w:ascii="Arial" w:hAnsi="Arial" w:cs="Arial"/>
        </w:rPr>
      </w:pPr>
    </w:p>
    <w:p w14:paraId="60C639AC" w14:textId="77777777" w:rsidR="005B281A" w:rsidRPr="00925DE9" w:rsidRDefault="005B281A" w:rsidP="005B281A">
      <w:pPr>
        <w:pStyle w:val="ListParagraph"/>
        <w:numPr>
          <w:ilvl w:val="0"/>
          <w:numId w:val="1"/>
        </w:numPr>
        <w:jc w:val="center"/>
        <w:rPr>
          <w:rFonts w:ascii="Arial" w:hAnsi="Arial" w:cs="Arial"/>
          <w:smallCaps/>
        </w:rPr>
      </w:pPr>
      <w:r w:rsidRPr="00925DE9">
        <w:rPr>
          <w:rFonts w:ascii="Arial" w:hAnsi="Arial" w:cs="Arial"/>
          <w:smallCaps/>
        </w:rPr>
        <w:t>Conclusion (e.g. 300 Words)</w:t>
      </w:r>
    </w:p>
    <w:p w14:paraId="4BB29CA6" w14:textId="27C0A5B1" w:rsidR="005B281A" w:rsidRPr="00D035C7" w:rsidRDefault="00065A0F" w:rsidP="005B281A">
      <w:pPr>
        <w:rPr>
          <w:rFonts w:ascii="Arial" w:hAnsi="Arial" w:cs="Arial"/>
        </w:rPr>
      </w:pPr>
      <w:r w:rsidRPr="00065A0F">
        <w:rPr>
          <w:rFonts w:ascii="Arial" w:hAnsi="Arial" w:cs="Arial"/>
        </w:rPr>
        <w:t>I used the classical theory to determine that victims should be sentenced based on the fact they committed the crimes out of a free will. The classical theory states that humans are rational beings that make decisions with a full understanding of the ramifications.8 Thus, the sentences will be based on the level of violence the perpetrator has been found guilty of. Rehabilitation instead of incarceration opinion was made with regard to the theoretical framework that crimes should be prevented through the adoption of corrective measures. However, offenders that pose a greater threat should be given stiffer penalties that prevent them from carrying out similar crimes in the future. Also, rehabilitation aligns with the biological theory that postulates that certain criminal determinants are inherent or genetic. Therefore, these genetic markers can be transferred from one generation to another.</w:t>
      </w:r>
      <w:r w:rsidRPr="00065A0F">
        <w:rPr>
          <w:rFonts w:ascii="Arial" w:hAnsi="Arial" w:cs="Arial"/>
          <w:vertAlign w:val="superscript"/>
        </w:rPr>
        <w:t xml:space="preserve"> 8</w:t>
      </w:r>
      <w:r w:rsidRPr="00065A0F">
        <w:rPr>
          <w:rFonts w:ascii="Arial" w:hAnsi="Arial" w:cs="Arial"/>
        </w:rPr>
        <w:t xml:space="preserve"> The theoretical supposition formed the basis for the conclusion the court should be provided with a psychiatric assessment of the perpetrators to enable the making of informed decisions. Therefore, an offender that has a history of mental challenge(s) will benefit more from rehabilitation and mental support programs as opposed to incarceration. I also used the interactionism theory that postulates that when a criminal interacts with others, they are likely to influence their behavioural characteristics.8 In this regard, I used this theoretical explanation to conclude that criminals should only engage with the victims as well as their children only when they are supervised. Also, it formed the basis for the issuance of pre-trial and post-trial orders that prevent contact between the perpetrator and the victim. Lastly, the sociology theory was used to assess the emotional state of the victims. The theory stipulates that weak bonds in familial relationships are catalysts to human behaviour. Thereby, victims should be supported emotionally during court proceedings to prevent the distortion or the concealment of certain information.</w:t>
      </w:r>
    </w:p>
    <w:p w14:paraId="4F41749F" w14:textId="4C464F73" w:rsidR="00E167D3" w:rsidRDefault="003D7035" w:rsidP="003D7035">
      <w:pPr>
        <w:rPr>
          <w:rFonts w:ascii="Arial" w:hAnsi="Arial" w:cs="Arial"/>
          <w:smallCaps/>
        </w:rPr>
      </w:pPr>
      <w:r>
        <w:rPr>
          <w:rStyle w:val="FootnoteReference"/>
          <w:rFonts w:ascii="Arial" w:hAnsi="Arial" w:cs="Arial"/>
          <w:smallCaps/>
        </w:rPr>
        <w:footnoteReference w:id="3"/>
      </w:r>
    </w:p>
    <w:p w14:paraId="1D23C58A" w14:textId="77777777" w:rsidR="00E167D3" w:rsidRDefault="00E167D3" w:rsidP="0026198E">
      <w:pPr>
        <w:jc w:val="center"/>
        <w:rPr>
          <w:rFonts w:ascii="Arial" w:hAnsi="Arial" w:cs="Arial"/>
          <w:smallCaps/>
        </w:rPr>
      </w:pPr>
    </w:p>
    <w:p w14:paraId="7D583C0A" w14:textId="160010BD" w:rsidR="005B281A" w:rsidRDefault="005B281A">
      <w:pPr>
        <w:rPr>
          <w:rFonts w:ascii="Arial" w:hAnsi="Arial" w:cs="Arial"/>
        </w:rPr>
      </w:pPr>
    </w:p>
    <w:p w14:paraId="740E39BD" w14:textId="77777777" w:rsidR="005B281A" w:rsidRPr="005B281A" w:rsidRDefault="005B281A" w:rsidP="005B281A">
      <w:pPr>
        <w:rPr>
          <w:rFonts w:ascii="Arial" w:hAnsi="Arial" w:cs="Arial"/>
        </w:rPr>
      </w:pPr>
    </w:p>
    <w:p w14:paraId="40494A4B" w14:textId="77777777" w:rsidR="005B281A" w:rsidRPr="005B281A" w:rsidRDefault="005B281A" w:rsidP="005B281A">
      <w:pPr>
        <w:rPr>
          <w:rFonts w:ascii="Arial" w:hAnsi="Arial" w:cs="Arial"/>
        </w:rPr>
      </w:pPr>
    </w:p>
    <w:p w14:paraId="50847CE1" w14:textId="77777777" w:rsidR="005B281A" w:rsidRDefault="005B281A" w:rsidP="005B281A">
      <w:pPr>
        <w:rPr>
          <w:rFonts w:ascii="Arial" w:hAnsi="Arial" w:cs="Arial"/>
        </w:rPr>
      </w:pPr>
    </w:p>
    <w:p w14:paraId="42D83CC0" w14:textId="77777777" w:rsidR="003D7035" w:rsidRDefault="003D7035" w:rsidP="005B281A">
      <w:pPr>
        <w:rPr>
          <w:rFonts w:ascii="Arial" w:hAnsi="Arial" w:cs="Arial"/>
        </w:rPr>
      </w:pPr>
    </w:p>
    <w:p w14:paraId="7C9F76C0" w14:textId="77777777" w:rsidR="003D7035" w:rsidRPr="005B281A" w:rsidRDefault="003D7035" w:rsidP="005B281A">
      <w:pPr>
        <w:rPr>
          <w:rFonts w:ascii="Arial" w:hAnsi="Arial" w:cs="Arial"/>
        </w:rPr>
      </w:pPr>
    </w:p>
    <w:p w14:paraId="72DF8902" w14:textId="77777777" w:rsidR="005B281A" w:rsidRPr="005B281A" w:rsidRDefault="005B281A" w:rsidP="005B281A">
      <w:pPr>
        <w:rPr>
          <w:rFonts w:ascii="Arial" w:hAnsi="Arial" w:cs="Arial"/>
        </w:rPr>
      </w:pPr>
    </w:p>
    <w:p w14:paraId="3981EADC" w14:textId="77777777" w:rsidR="005B281A" w:rsidRDefault="005B281A" w:rsidP="005B281A">
      <w:pPr>
        <w:rPr>
          <w:rFonts w:ascii="Arial" w:hAnsi="Arial" w:cs="Arial"/>
        </w:rPr>
      </w:pPr>
    </w:p>
    <w:p w14:paraId="3D09436F" w14:textId="77777777" w:rsidR="003D7035" w:rsidRPr="005B281A" w:rsidRDefault="003D7035" w:rsidP="005B281A">
      <w:pPr>
        <w:rPr>
          <w:rFonts w:ascii="Arial" w:hAnsi="Arial" w:cs="Arial"/>
        </w:rPr>
      </w:pPr>
    </w:p>
    <w:p w14:paraId="768F27F8" w14:textId="426C187E" w:rsidR="00D035C7" w:rsidRPr="00D035C7" w:rsidRDefault="00D035C7" w:rsidP="00C86DCD">
      <w:pPr>
        <w:tabs>
          <w:tab w:val="left" w:pos="1635"/>
        </w:tabs>
        <w:jc w:val="center"/>
        <w:rPr>
          <w:rFonts w:ascii="Arial" w:hAnsi="Arial" w:cs="Arial"/>
        </w:rPr>
      </w:pPr>
      <w:r w:rsidRPr="00D035C7">
        <w:rPr>
          <w:rFonts w:ascii="Arial" w:hAnsi="Arial" w:cs="Arial"/>
        </w:rPr>
        <w:t>Bibliography</w:t>
      </w:r>
    </w:p>
    <w:p w14:paraId="6CFD55BE" w14:textId="77777777" w:rsidR="00D035C7" w:rsidRDefault="00D035C7" w:rsidP="00C86DCD">
      <w:pPr>
        <w:tabs>
          <w:tab w:val="left" w:pos="1635"/>
        </w:tabs>
        <w:jc w:val="center"/>
        <w:rPr>
          <w:rFonts w:ascii="Arial" w:hAnsi="Arial" w:cs="Arial"/>
          <w:i/>
        </w:rPr>
      </w:pPr>
      <w:proofErr w:type="gramStart"/>
      <w:r w:rsidRPr="00D035C7">
        <w:rPr>
          <w:rFonts w:ascii="Arial" w:hAnsi="Arial" w:cs="Arial"/>
        </w:rPr>
        <w:t>A</w:t>
      </w:r>
      <w:proofErr w:type="gramEnd"/>
      <w:r w:rsidRPr="00D035C7">
        <w:rPr>
          <w:rFonts w:ascii="Arial" w:hAnsi="Arial" w:cs="Arial"/>
        </w:rPr>
        <w:t xml:space="preserve"> </w:t>
      </w:r>
      <w:r w:rsidRPr="00D035C7">
        <w:rPr>
          <w:rFonts w:ascii="Arial" w:hAnsi="Arial" w:cs="Arial"/>
          <w:i/>
        </w:rPr>
        <w:t>Articles/Books/Reports</w:t>
      </w:r>
    </w:p>
    <w:p w14:paraId="0EDE840C" w14:textId="04AC5398" w:rsidR="00905530" w:rsidRPr="00905530" w:rsidRDefault="00905530" w:rsidP="00C805FE">
      <w:pPr>
        <w:tabs>
          <w:tab w:val="left" w:pos="1635"/>
        </w:tabs>
        <w:ind w:left="720" w:hanging="720"/>
        <w:rPr>
          <w:rFonts w:ascii="Arial" w:hAnsi="Arial" w:cs="Arial"/>
        </w:rPr>
      </w:pPr>
      <w:proofErr w:type="spellStart"/>
      <w:r w:rsidRPr="00905530">
        <w:rPr>
          <w:rFonts w:ascii="Arial" w:hAnsi="Arial" w:cs="Arial"/>
        </w:rPr>
        <w:t>Goodmark</w:t>
      </w:r>
      <w:proofErr w:type="spellEnd"/>
      <w:r w:rsidRPr="00905530">
        <w:rPr>
          <w:rFonts w:ascii="Arial" w:hAnsi="Arial" w:cs="Arial"/>
        </w:rPr>
        <w:t xml:space="preserve"> Leigh. Innovative Criminal Justice Responses to Intimate Partner Violence</w:t>
      </w:r>
      <w:r w:rsidR="00C805FE">
        <w:rPr>
          <w:rFonts w:ascii="Arial" w:hAnsi="Arial" w:cs="Arial"/>
        </w:rPr>
        <w:t xml:space="preserve"> </w:t>
      </w:r>
      <w:r w:rsidRPr="00905530">
        <w:rPr>
          <w:rFonts w:ascii="Arial" w:hAnsi="Arial" w:cs="Arial"/>
        </w:rPr>
        <w:t>(Sage Publication, 2017).</w:t>
      </w:r>
    </w:p>
    <w:p w14:paraId="4DCF5594" w14:textId="3AB370EF" w:rsidR="00D035C7" w:rsidRDefault="00E4508E" w:rsidP="00C805FE">
      <w:pPr>
        <w:tabs>
          <w:tab w:val="left" w:pos="1635"/>
        </w:tabs>
        <w:ind w:left="720" w:hanging="720"/>
        <w:rPr>
          <w:rFonts w:ascii="Arial" w:hAnsi="Arial" w:cs="Arial"/>
        </w:rPr>
      </w:pPr>
      <w:r>
        <w:rPr>
          <w:rFonts w:ascii="Arial" w:hAnsi="Arial" w:cs="Arial"/>
        </w:rPr>
        <w:t xml:space="preserve">Hunter Rosemary, Barnett Adrienne and </w:t>
      </w:r>
      <w:proofErr w:type="spellStart"/>
      <w:r>
        <w:rPr>
          <w:rFonts w:ascii="Arial" w:hAnsi="Arial" w:cs="Arial"/>
        </w:rPr>
        <w:t>Kaganas</w:t>
      </w:r>
      <w:proofErr w:type="spellEnd"/>
      <w:r>
        <w:rPr>
          <w:rFonts w:ascii="Arial" w:hAnsi="Arial" w:cs="Arial"/>
        </w:rPr>
        <w:t xml:space="preserve"> Felicity, </w:t>
      </w:r>
      <w:r w:rsidRPr="00E4508E">
        <w:rPr>
          <w:rFonts w:ascii="Arial" w:hAnsi="Arial" w:cs="Arial"/>
          <w:i/>
        </w:rPr>
        <w:t>Introduction: Contact and Domestic Abuse</w:t>
      </w:r>
      <w:r>
        <w:rPr>
          <w:rFonts w:ascii="Arial" w:hAnsi="Arial" w:cs="Arial"/>
        </w:rPr>
        <w:t xml:space="preserve"> (Journal of Social Welfare and Family Law, 2018).</w:t>
      </w:r>
    </w:p>
    <w:p w14:paraId="35F5B94C" w14:textId="5F58BAA2" w:rsidR="00905530" w:rsidRDefault="00905530" w:rsidP="00C805FE">
      <w:pPr>
        <w:tabs>
          <w:tab w:val="left" w:pos="1635"/>
        </w:tabs>
        <w:ind w:left="720" w:hanging="720"/>
        <w:rPr>
          <w:rFonts w:ascii="Arial" w:hAnsi="Arial" w:cs="Arial"/>
        </w:rPr>
      </w:pPr>
      <w:r>
        <w:rPr>
          <w:rFonts w:ascii="Arial" w:hAnsi="Arial" w:cs="Arial"/>
        </w:rPr>
        <w:t>Lewis Ruth. Making Justice Work: Effective Legal Interventions for Domestic Violence</w:t>
      </w:r>
      <w:r w:rsidR="00C805FE">
        <w:rPr>
          <w:rFonts w:ascii="Arial" w:hAnsi="Arial" w:cs="Arial"/>
        </w:rPr>
        <w:t xml:space="preserve"> </w:t>
      </w:r>
      <w:r>
        <w:rPr>
          <w:rFonts w:ascii="Arial" w:hAnsi="Arial" w:cs="Arial"/>
        </w:rPr>
        <w:t>(The British Journal of Criminology, 2004)</w:t>
      </w:r>
    </w:p>
    <w:p w14:paraId="3B26E754" w14:textId="0B797B32" w:rsidR="00E4508E" w:rsidRDefault="00E4508E" w:rsidP="00C805FE">
      <w:pPr>
        <w:tabs>
          <w:tab w:val="left" w:pos="1635"/>
        </w:tabs>
        <w:ind w:left="720" w:hanging="720"/>
        <w:rPr>
          <w:rFonts w:ascii="Arial" w:hAnsi="Arial" w:cs="Arial"/>
        </w:rPr>
      </w:pPr>
      <w:r>
        <w:rPr>
          <w:rFonts w:ascii="Arial" w:hAnsi="Arial" w:cs="Arial"/>
        </w:rPr>
        <w:t>Phillips Janet and Dunkley Anna, Domestic Violence: Issues and Policy Challenges.</w:t>
      </w:r>
      <w:r w:rsidR="00C805FE">
        <w:rPr>
          <w:rFonts w:ascii="Arial" w:hAnsi="Arial" w:cs="Arial"/>
        </w:rPr>
        <w:t xml:space="preserve"> </w:t>
      </w:r>
      <w:r w:rsidR="00905530">
        <w:rPr>
          <w:rFonts w:ascii="Arial" w:hAnsi="Arial" w:cs="Arial"/>
        </w:rPr>
        <w:t>(Parliament of Australia, 2015)</w:t>
      </w:r>
    </w:p>
    <w:p w14:paraId="6DD16257" w14:textId="0B08EEDE" w:rsidR="00905530" w:rsidRDefault="00905530" w:rsidP="00C805FE">
      <w:pPr>
        <w:tabs>
          <w:tab w:val="left" w:pos="1635"/>
        </w:tabs>
        <w:ind w:left="720" w:hanging="720"/>
        <w:rPr>
          <w:rFonts w:ascii="Arial" w:hAnsi="Arial" w:cs="Arial"/>
        </w:rPr>
      </w:pPr>
      <w:r>
        <w:rPr>
          <w:rFonts w:ascii="Arial" w:hAnsi="Arial" w:cs="Arial"/>
        </w:rPr>
        <w:t xml:space="preserve">School Work Helper Theories </w:t>
      </w:r>
      <w:bookmarkStart w:id="0" w:name="_GoBack"/>
      <w:bookmarkEnd w:id="0"/>
      <w:r w:rsidR="00C805FE">
        <w:rPr>
          <w:rFonts w:ascii="Arial" w:hAnsi="Arial" w:cs="Arial"/>
        </w:rPr>
        <w:t>of Crime</w:t>
      </w:r>
      <w:r>
        <w:rPr>
          <w:rFonts w:ascii="Arial" w:hAnsi="Arial" w:cs="Arial"/>
        </w:rPr>
        <w:t>: Classical, Biological, Sociological, Interactionism</w:t>
      </w:r>
      <w:r w:rsidR="00C805FE">
        <w:rPr>
          <w:rFonts w:ascii="Arial" w:hAnsi="Arial" w:cs="Arial"/>
        </w:rPr>
        <w:t xml:space="preserve"> </w:t>
      </w:r>
      <w:r>
        <w:rPr>
          <w:rFonts w:ascii="Arial" w:hAnsi="Arial" w:cs="Arial"/>
        </w:rPr>
        <w:t>(2020)</w:t>
      </w:r>
    </w:p>
    <w:p w14:paraId="4ED6433F" w14:textId="517F3115" w:rsidR="00E4508E" w:rsidRPr="00D035C7" w:rsidRDefault="00E4508E" w:rsidP="00C805FE">
      <w:pPr>
        <w:tabs>
          <w:tab w:val="left" w:pos="1635"/>
        </w:tabs>
        <w:ind w:left="720" w:hanging="720"/>
        <w:rPr>
          <w:rFonts w:ascii="Arial" w:hAnsi="Arial" w:cs="Arial"/>
        </w:rPr>
      </w:pPr>
      <w:r>
        <w:rPr>
          <w:rFonts w:ascii="Arial" w:hAnsi="Arial" w:cs="Arial"/>
        </w:rPr>
        <w:t>United Nations Office on Drugs and Crime, Handbook on Effective Prosecution Responses to Violence against Women and Girls (Criminal</w:t>
      </w:r>
      <w:r w:rsidR="00905530">
        <w:rPr>
          <w:rFonts w:ascii="Arial" w:hAnsi="Arial" w:cs="Arial"/>
        </w:rPr>
        <w:t xml:space="preserve"> Justice Handbook Series, 2014)</w:t>
      </w:r>
    </w:p>
    <w:p w14:paraId="2612FCD6" w14:textId="77777777" w:rsidR="00D035C7" w:rsidRDefault="00D035C7" w:rsidP="00C805FE">
      <w:pPr>
        <w:tabs>
          <w:tab w:val="left" w:pos="1635"/>
        </w:tabs>
        <w:ind w:left="720" w:hanging="720"/>
        <w:rPr>
          <w:rFonts w:ascii="Arial" w:hAnsi="Arial" w:cs="Arial"/>
          <w:i/>
        </w:rPr>
      </w:pPr>
      <w:r w:rsidRPr="00D035C7">
        <w:rPr>
          <w:rFonts w:ascii="Arial" w:hAnsi="Arial" w:cs="Arial"/>
        </w:rPr>
        <w:t xml:space="preserve">B </w:t>
      </w:r>
      <w:r w:rsidRPr="00D035C7">
        <w:rPr>
          <w:rFonts w:ascii="Arial" w:hAnsi="Arial" w:cs="Arial"/>
          <w:i/>
        </w:rPr>
        <w:t>Cases</w:t>
      </w:r>
    </w:p>
    <w:p w14:paraId="247D888C" w14:textId="732CC671" w:rsidR="00905530" w:rsidRDefault="00905530" w:rsidP="00C805FE">
      <w:pPr>
        <w:tabs>
          <w:tab w:val="left" w:pos="1635"/>
        </w:tabs>
        <w:ind w:left="720" w:hanging="720"/>
        <w:rPr>
          <w:rFonts w:ascii="Arial" w:hAnsi="Arial" w:cs="Arial"/>
        </w:rPr>
      </w:pPr>
      <w:r>
        <w:rPr>
          <w:rFonts w:ascii="Arial" w:hAnsi="Arial" w:cs="Arial"/>
        </w:rPr>
        <w:t>Hughes v The Queen [2017] HCA 20 914 June 2017)</w:t>
      </w:r>
    </w:p>
    <w:p w14:paraId="31D27DB1" w14:textId="7988D3A6" w:rsidR="00905530" w:rsidRPr="00905530" w:rsidRDefault="00905530" w:rsidP="00C805FE">
      <w:pPr>
        <w:tabs>
          <w:tab w:val="left" w:pos="1635"/>
        </w:tabs>
        <w:ind w:left="720" w:hanging="720"/>
        <w:rPr>
          <w:rFonts w:ascii="Arial" w:hAnsi="Arial" w:cs="Arial"/>
        </w:rPr>
      </w:pPr>
      <w:r>
        <w:rPr>
          <w:rFonts w:ascii="Arial" w:hAnsi="Arial" w:cs="Arial"/>
        </w:rPr>
        <w:t xml:space="preserve">The Queen v </w:t>
      </w:r>
      <w:proofErr w:type="spellStart"/>
      <w:r>
        <w:rPr>
          <w:rFonts w:ascii="Arial" w:hAnsi="Arial" w:cs="Arial"/>
        </w:rPr>
        <w:t>Kilic</w:t>
      </w:r>
      <w:proofErr w:type="spellEnd"/>
      <w:r>
        <w:rPr>
          <w:rFonts w:ascii="Arial" w:hAnsi="Arial" w:cs="Arial"/>
        </w:rPr>
        <w:t xml:space="preserve"> [2016] HCA 48 (7 December 2016)</w:t>
      </w:r>
    </w:p>
    <w:p w14:paraId="4FA31968" w14:textId="77777777" w:rsidR="00905530" w:rsidRPr="00D035C7" w:rsidRDefault="00905530" w:rsidP="00D035C7">
      <w:pPr>
        <w:tabs>
          <w:tab w:val="left" w:pos="1635"/>
        </w:tabs>
        <w:rPr>
          <w:rFonts w:ascii="Arial" w:hAnsi="Arial" w:cs="Arial"/>
          <w:i/>
        </w:rPr>
      </w:pPr>
    </w:p>
    <w:p w14:paraId="70553D77" w14:textId="1123E509" w:rsidR="0026198E" w:rsidRPr="005B281A" w:rsidRDefault="005B281A" w:rsidP="005B281A">
      <w:pPr>
        <w:tabs>
          <w:tab w:val="left" w:pos="1020"/>
        </w:tabs>
        <w:rPr>
          <w:rFonts w:ascii="Arial" w:hAnsi="Arial" w:cs="Arial"/>
        </w:rPr>
      </w:pPr>
      <w:r>
        <w:rPr>
          <w:rFonts w:ascii="Arial" w:hAnsi="Arial" w:cs="Arial"/>
        </w:rPr>
        <w:tab/>
      </w:r>
    </w:p>
    <w:sectPr w:rsidR="0026198E" w:rsidRPr="005B281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10E53" w14:textId="77777777" w:rsidR="004B1AF2" w:rsidRDefault="004B1AF2" w:rsidP="0026198E">
      <w:pPr>
        <w:spacing w:after="0" w:line="240" w:lineRule="auto"/>
      </w:pPr>
      <w:r>
        <w:separator/>
      </w:r>
    </w:p>
  </w:endnote>
  <w:endnote w:type="continuationSeparator" w:id="0">
    <w:p w14:paraId="42D824B0" w14:textId="77777777" w:rsidR="004B1AF2" w:rsidRDefault="004B1AF2" w:rsidP="00261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103C7" w14:textId="77777777" w:rsidR="004B1AF2" w:rsidRDefault="004B1AF2" w:rsidP="0026198E">
      <w:pPr>
        <w:spacing w:after="0" w:line="240" w:lineRule="auto"/>
      </w:pPr>
      <w:r>
        <w:separator/>
      </w:r>
    </w:p>
  </w:footnote>
  <w:footnote w:type="continuationSeparator" w:id="0">
    <w:p w14:paraId="0F8AF4DF" w14:textId="77777777" w:rsidR="004B1AF2" w:rsidRDefault="004B1AF2" w:rsidP="0026198E">
      <w:pPr>
        <w:spacing w:after="0" w:line="240" w:lineRule="auto"/>
      </w:pPr>
      <w:r>
        <w:continuationSeparator/>
      </w:r>
    </w:p>
  </w:footnote>
  <w:footnote w:id="1">
    <w:p w14:paraId="6EEA2E39" w14:textId="77777777" w:rsidR="00065A0F" w:rsidRPr="00065A0F" w:rsidRDefault="00065A0F" w:rsidP="00065A0F">
      <w:pPr>
        <w:pStyle w:val="FootnoteText"/>
        <w:rPr>
          <w:lang w:val="en-US"/>
        </w:rPr>
      </w:pPr>
      <w:r w:rsidRPr="00065A0F">
        <w:rPr>
          <w:vertAlign w:val="superscript"/>
        </w:rPr>
        <w:footnoteRef/>
      </w:r>
      <w:r w:rsidRPr="00065A0F">
        <w:t xml:space="preserve"> </w:t>
      </w:r>
      <w:r w:rsidRPr="00065A0F">
        <w:rPr>
          <w:lang w:val="en-US"/>
        </w:rPr>
        <w:t>See Introduction: Contact and Domestic Abuse</w:t>
      </w:r>
    </w:p>
    <w:p w14:paraId="28FC4050" w14:textId="77777777" w:rsidR="00065A0F" w:rsidRPr="00065A0F" w:rsidRDefault="00065A0F" w:rsidP="00065A0F">
      <w:pPr>
        <w:pStyle w:val="FootnoteText"/>
        <w:rPr>
          <w:lang w:val="en-US"/>
        </w:rPr>
      </w:pPr>
      <w:r w:rsidRPr="00065A0F">
        <w:rPr>
          <w:vertAlign w:val="superscript"/>
          <w:lang w:val="en-US"/>
        </w:rPr>
        <w:t>2</w:t>
      </w:r>
      <w:r w:rsidRPr="00065A0F">
        <w:rPr>
          <w:lang w:val="en-US"/>
        </w:rPr>
        <w:t xml:space="preserve"> See Innovative Criminal Justice Responses to Intimate Partner Violence</w:t>
      </w:r>
    </w:p>
    <w:p w14:paraId="703BFD6C" w14:textId="77777777" w:rsidR="00065A0F" w:rsidRPr="00065A0F" w:rsidRDefault="00065A0F" w:rsidP="00065A0F">
      <w:pPr>
        <w:pStyle w:val="FootnoteText"/>
        <w:rPr>
          <w:lang w:val="en-US"/>
        </w:rPr>
      </w:pPr>
    </w:p>
    <w:p w14:paraId="4AD06A22" w14:textId="1A3BD24B" w:rsidR="00065A0F" w:rsidRPr="00065A0F" w:rsidRDefault="00065A0F">
      <w:pPr>
        <w:pStyle w:val="FootnoteText"/>
        <w:rPr>
          <w:lang w:val="en-US"/>
        </w:rPr>
      </w:pPr>
    </w:p>
  </w:footnote>
  <w:footnote w:id="2">
    <w:p w14:paraId="4FA099B7" w14:textId="77777777" w:rsidR="003D7035" w:rsidRPr="003D7035" w:rsidRDefault="003D7035" w:rsidP="003D7035">
      <w:pPr>
        <w:pStyle w:val="FootnoteText"/>
        <w:rPr>
          <w:lang w:val="en-US"/>
        </w:rPr>
      </w:pPr>
      <w:r w:rsidRPr="003D7035">
        <w:rPr>
          <w:vertAlign w:val="superscript"/>
        </w:rPr>
        <w:t xml:space="preserve">3 </w:t>
      </w:r>
      <w:r w:rsidRPr="003D7035">
        <w:rPr>
          <w:lang w:val="en-US"/>
        </w:rPr>
        <w:t>See Domestic violence: Issues and policy Challenges</w:t>
      </w:r>
    </w:p>
    <w:p w14:paraId="5F35F026" w14:textId="77777777" w:rsidR="003D7035" w:rsidRPr="003D7035" w:rsidRDefault="003D7035" w:rsidP="003D7035">
      <w:pPr>
        <w:pStyle w:val="FootnoteText"/>
        <w:rPr>
          <w:lang w:val="en-US"/>
        </w:rPr>
      </w:pPr>
      <w:r w:rsidRPr="003D7035">
        <w:rPr>
          <w:vertAlign w:val="superscript"/>
          <w:lang w:val="en-US"/>
        </w:rPr>
        <w:t>4</w:t>
      </w:r>
      <w:r w:rsidRPr="003D7035">
        <w:rPr>
          <w:lang w:val="en-US"/>
        </w:rPr>
        <w:t xml:space="preserve"> See Handbook on effective prosecution responses to violence against women and against</w:t>
      </w:r>
    </w:p>
    <w:p w14:paraId="334AC682" w14:textId="77777777" w:rsidR="003D7035" w:rsidRPr="003D7035" w:rsidRDefault="003D7035" w:rsidP="003D7035">
      <w:pPr>
        <w:pStyle w:val="FootnoteText"/>
        <w:rPr>
          <w:lang w:val="en-US"/>
        </w:rPr>
      </w:pPr>
      <w:r w:rsidRPr="003D7035">
        <w:rPr>
          <w:vertAlign w:val="superscript"/>
          <w:lang w:val="en-US"/>
        </w:rPr>
        <w:t>5</w:t>
      </w:r>
      <w:r w:rsidRPr="003D7035">
        <w:rPr>
          <w:lang w:val="en-US"/>
        </w:rPr>
        <w:t xml:space="preserve"> Making justice work: Effective legal interventions for domestic violence</w:t>
      </w:r>
    </w:p>
    <w:p w14:paraId="56AE47DC" w14:textId="77777777" w:rsidR="003D7035" w:rsidRPr="003D7035" w:rsidRDefault="003D7035" w:rsidP="003D7035">
      <w:pPr>
        <w:pStyle w:val="FootnoteText"/>
        <w:rPr>
          <w:vertAlign w:val="superscript"/>
          <w:lang w:val="en-US"/>
        </w:rPr>
      </w:pPr>
      <w:r w:rsidRPr="003D7035">
        <w:rPr>
          <w:vertAlign w:val="superscript"/>
          <w:lang w:val="en-US"/>
        </w:rPr>
        <w:t xml:space="preserve">6 </w:t>
      </w:r>
      <w:r w:rsidRPr="003D7035">
        <w:rPr>
          <w:lang w:val="en-US"/>
        </w:rPr>
        <w:t>See Hughes v Queen HCA 20</w:t>
      </w:r>
    </w:p>
    <w:p w14:paraId="7707AC91" w14:textId="77777777" w:rsidR="003D7035" w:rsidRPr="003D7035" w:rsidRDefault="003D7035" w:rsidP="003D7035">
      <w:pPr>
        <w:pStyle w:val="FootnoteText"/>
        <w:rPr>
          <w:lang w:val="en-US"/>
        </w:rPr>
      </w:pPr>
    </w:p>
    <w:p w14:paraId="7AEF36AB" w14:textId="688FAB92" w:rsidR="003D7035" w:rsidRPr="003D7035" w:rsidRDefault="003D7035">
      <w:pPr>
        <w:pStyle w:val="FootnoteText"/>
        <w:rPr>
          <w:lang w:val="en-US"/>
        </w:rPr>
      </w:pPr>
    </w:p>
  </w:footnote>
  <w:footnote w:id="3">
    <w:p w14:paraId="2E06A6A0" w14:textId="77777777" w:rsidR="003D7035" w:rsidRPr="003D7035" w:rsidRDefault="003D7035" w:rsidP="003D7035">
      <w:pPr>
        <w:pStyle w:val="FootnoteText"/>
        <w:rPr>
          <w:lang w:val="en-US"/>
        </w:rPr>
      </w:pPr>
      <w:r w:rsidRPr="003D7035">
        <w:rPr>
          <w:vertAlign w:val="superscript"/>
        </w:rPr>
        <w:t>7</w:t>
      </w:r>
      <w:r w:rsidRPr="003D7035">
        <w:t xml:space="preserve"> </w:t>
      </w:r>
      <w:r w:rsidRPr="003D7035">
        <w:rPr>
          <w:lang w:val="en-US"/>
        </w:rPr>
        <w:t xml:space="preserve">See The Queen v </w:t>
      </w:r>
      <w:proofErr w:type="spellStart"/>
      <w:r w:rsidRPr="003D7035">
        <w:rPr>
          <w:lang w:val="en-US"/>
        </w:rPr>
        <w:t>Kilic</w:t>
      </w:r>
      <w:proofErr w:type="spellEnd"/>
      <w:r w:rsidRPr="003D7035">
        <w:rPr>
          <w:lang w:val="en-US"/>
        </w:rPr>
        <w:t xml:space="preserve"> [2016] HCA 48</w:t>
      </w:r>
      <w:r w:rsidRPr="003D7035">
        <w:rPr>
          <w:lang w:val="en-US"/>
        </w:rPr>
        <w:tab/>
      </w:r>
    </w:p>
    <w:p w14:paraId="50330C89" w14:textId="77777777" w:rsidR="003D7035" w:rsidRPr="003D7035" w:rsidRDefault="003D7035" w:rsidP="003D7035">
      <w:pPr>
        <w:pStyle w:val="FootnoteText"/>
        <w:rPr>
          <w:lang w:val="en-US"/>
        </w:rPr>
      </w:pPr>
      <w:r w:rsidRPr="003D7035">
        <w:rPr>
          <w:vertAlign w:val="superscript"/>
          <w:lang w:val="en-US"/>
        </w:rPr>
        <w:t xml:space="preserve">8 </w:t>
      </w:r>
      <w:r w:rsidRPr="003D7035">
        <w:rPr>
          <w:lang w:val="en-US"/>
        </w:rPr>
        <w:t>See theories of crime: Classical, biological, sociological, and interactionist</w:t>
      </w:r>
    </w:p>
    <w:p w14:paraId="4062D774" w14:textId="0C9B9E43" w:rsidR="003D7035" w:rsidRPr="003D7035" w:rsidRDefault="003D7035">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7681D"/>
    <w:multiLevelType w:val="hybridMultilevel"/>
    <w:tmpl w:val="3186411C"/>
    <w:lvl w:ilvl="0" w:tplc="0C090013">
      <w:start w:val="1"/>
      <w:numFmt w:val="upp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0D84102"/>
    <w:multiLevelType w:val="hybridMultilevel"/>
    <w:tmpl w:val="6E9A66A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8C643CD"/>
    <w:multiLevelType w:val="hybridMultilevel"/>
    <w:tmpl w:val="8C2AB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F116807"/>
    <w:multiLevelType w:val="hybridMultilevel"/>
    <w:tmpl w:val="F1609106"/>
    <w:lvl w:ilvl="0" w:tplc="0C090013">
      <w:start w:val="1"/>
      <w:numFmt w:val="upp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8E"/>
    <w:rsid w:val="00065A0F"/>
    <w:rsid w:val="000A41DE"/>
    <w:rsid w:val="000B5DC9"/>
    <w:rsid w:val="000F25E2"/>
    <w:rsid w:val="001525C2"/>
    <w:rsid w:val="00167978"/>
    <w:rsid w:val="001717F2"/>
    <w:rsid w:val="002354AF"/>
    <w:rsid w:val="0026198E"/>
    <w:rsid w:val="00276D40"/>
    <w:rsid w:val="002864B9"/>
    <w:rsid w:val="00326FAF"/>
    <w:rsid w:val="003A3D7B"/>
    <w:rsid w:val="003D7035"/>
    <w:rsid w:val="00450F2B"/>
    <w:rsid w:val="00466D42"/>
    <w:rsid w:val="004943B2"/>
    <w:rsid w:val="004A6E48"/>
    <w:rsid w:val="004B1AF2"/>
    <w:rsid w:val="004D23CC"/>
    <w:rsid w:val="00527A30"/>
    <w:rsid w:val="0056433C"/>
    <w:rsid w:val="00567C86"/>
    <w:rsid w:val="00595601"/>
    <w:rsid w:val="005B281A"/>
    <w:rsid w:val="00626E35"/>
    <w:rsid w:val="00677FF8"/>
    <w:rsid w:val="006848B5"/>
    <w:rsid w:val="00695293"/>
    <w:rsid w:val="006E443E"/>
    <w:rsid w:val="006E47E7"/>
    <w:rsid w:val="00722AEA"/>
    <w:rsid w:val="00735973"/>
    <w:rsid w:val="00737927"/>
    <w:rsid w:val="007463B5"/>
    <w:rsid w:val="007866C6"/>
    <w:rsid w:val="008174B2"/>
    <w:rsid w:val="0084743E"/>
    <w:rsid w:val="00882D90"/>
    <w:rsid w:val="00905530"/>
    <w:rsid w:val="0092239D"/>
    <w:rsid w:val="00925DE9"/>
    <w:rsid w:val="009453AD"/>
    <w:rsid w:val="00955E45"/>
    <w:rsid w:val="00980E72"/>
    <w:rsid w:val="009F131D"/>
    <w:rsid w:val="00A25B3A"/>
    <w:rsid w:val="00A44859"/>
    <w:rsid w:val="00A66465"/>
    <w:rsid w:val="00A80A92"/>
    <w:rsid w:val="00AF2C24"/>
    <w:rsid w:val="00B7034A"/>
    <w:rsid w:val="00C805FE"/>
    <w:rsid w:val="00C86DCD"/>
    <w:rsid w:val="00C970E7"/>
    <w:rsid w:val="00D035C7"/>
    <w:rsid w:val="00DA16A6"/>
    <w:rsid w:val="00E04C43"/>
    <w:rsid w:val="00E167D3"/>
    <w:rsid w:val="00E242F7"/>
    <w:rsid w:val="00E4508E"/>
    <w:rsid w:val="00EF58E0"/>
    <w:rsid w:val="00EF6C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9FCF0"/>
  <w15:docId w15:val="{BDA36308-E6C0-4F58-8EC2-F4E67E8B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9453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98E"/>
    <w:pPr>
      <w:ind w:left="720"/>
      <w:contextualSpacing/>
    </w:pPr>
  </w:style>
  <w:style w:type="paragraph" w:styleId="FootnoteText">
    <w:name w:val="footnote text"/>
    <w:basedOn w:val="Normal"/>
    <w:link w:val="FootnoteTextChar"/>
    <w:uiPriority w:val="99"/>
    <w:semiHidden/>
    <w:unhideWhenUsed/>
    <w:rsid w:val="002619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198E"/>
    <w:rPr>
      <w:sz w:val="20"/>
      <w:szCs w:val="20"/>
      <w:lang w:val="en-GB"/>
    </w:rPr>
  </w:style>
  <w:style w:type="character" w:styleId="FootnoteReference">
    <w:name w:val="footnote reference"/>
    <w:basedOn w:val="DefaultParagraphFont"/>
    <w:uiPriority w:val="99"/>
    <w:semiHidden/>
    <w:unhideWhenUsed/>
    <w:rsid w:val="0026198E"/>
    <w:rPr>
      <w:vertAlign w:val="superscript"/>
    </w:rPr>
  </w:style>
  <w:style w:type="character" w:styleId="Hyperlink">
    <w:name w:val="Hyperlink"/>
    <w:basedOn w:val="DefaultParagraphFont"/>
    <w:uiPriority w:val="99"/>
    <w:unhideWhenUsed/>
    <w:rsid w:val="0026198E"/>
    <w:rPr>
      <w:color w:val="0000FF" w:themeColor="hyperlink"/>
      <w:u w:val="single"/>
    </w:rPr>
  </w:style>
  <w:style w:type="character" w:customStyle="1" w:styleId="Heading1Char">
    <w:name w:val="Heading 1 Char"/>
    <w:basedOn w:val="DefaultParagraphFont"/>
    <w:link w:val="Heading1"/>
    <w:uiPriority w:val="9"/>
    <w:rsid w:val="009453AD"/>
    <w:rPr>
      <w:rFonts w:asciiTheme="majorHAnsi" w:eastAsiaTheme="majorEastAsia" w:hAnsiTheme="majorHAnsi" w:cstheme="majorBidi"/>
      <w:b/>
      <w:bCs/>
      <w:color w:val="365F91" w:themeColor="accent1" w:themeShade="BF"/>
      <w:sz w:val="28"/>
      <w:szCs w:val="28"/>
      <w:lang w:val="en-GB"/>
    </w:rPr>
  </w:style>
  <w:style w:type="paragraph" w:styleId="EndnoteText">
    <w:name w:val="endnote text"/>
    <w:basedOn w:val="Normal"/>
    <w:link w:val="EndnoteTextChar"/>
    <w:uiPriority w:val="99"/>
    <w:semiHidden/>
    <w:unhideWhenUsed/>
    <w:rsid w:val="00C970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70E7"/>
    <w:rPr>
      <w:sz w:val="20"/>
      <w:szCs w:val="20"/>
      <w:lang w:val="en-GB"/>
    </w:rPr>
  </w:style>
  <w:style w:type="character" w:styleId="EndnoteReference">
    <w:name w:val="endnote reference"/>
    <w:basedOn w:val="DefaultParagraphFont"/>
    <w:uiPriority w:val="99"/>
    <w:semiHidden/>
    <w:unhideWhenUsed/>
    <w:rsid w:val="00C970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EF449-820F-43F7-8358-CDDA0EDC1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3076</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South Australia</Company>
  <LinksUpToDate>false</LinksUpToDate>
  <CharactersWithSpaces>20569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University of South Australia</dc:creator>
  <cp:lastModifiedBy>Windows User</cp:lastModifiedBy>
  <cp:revision>2</cp:revision>
  <dcterms:created xsi:type="dcterms:W3CDTF">2020-04-27T19:23:00Z</dcterms:created>
  <dcterms:modified xsi:type="dcterms:W3CDTF">2020-04-27T19:23:00Z</dcterms:modified>
</cp:coreProperties>
</file>